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Cell compartments</w:t>
      </w:r>
    </w:p>
    <w:tbl>
      <w:tblPr>
        <w:tblW w:w="2000" w:type="pct"/>
        <w:tblBorders>
          <w:top w:val="single" w:sz="4" w:color="198200"/>
          <w:start w:val="single" w:sz="4" w:color="198200"/>
          <w:bottom w:val="single" w:sz="4" w:color="198200"/>
          <w:end w:val="single" w:sz="4" w:color="198200"/>
        </w:tblBorders>
      </w:tblPr>
      <w:tblGrid>
        <w:gridCol w:w="1871"/>
        <w:gridCol w:w="1872"/>
      </w:tblGrid>
      <w:tr>
        <w:tc>
          <w:p>
            <w:pPr>
              <w:pStyle w:val="BodyText"/>
            </w:pPr>
            <w:r>
              <w:t xml:space="preserve">Ribosome</w:t>
            </w:r>
          </w:p>
        </w:tc>
        <w:tc>
          <w:p>
            <w:pPr>
              <w:pStyle w:val="BodyText"/>
            </w:pPr>
            <w:r>
              <w:t xml:space="preserve">Lysosome</w:t>
            </w:r>
          </w:p>
        </w:tc>
      </w:tr>
    </w:tbl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